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CB" w:rsidRDefault="00AB56CB" w:rsidP="00AB56CB">
      <w:pPr>
        <w:jc w:val="center"/>
        <w:rPr>
          <w:rFonts w:asciiTheme="minorHAnsi" w:hAnsiTheme="minorHAnsi" w:cs="Arial"/>
          <w:b/>
        </w:rPr>
      </w:pPr>
      <w:r w:rsidRPr="003D189F">
        <w:rPr>
          <w:rFonts w:asciiTheme="minorHAnsi" w:hAnsiTheme="minorHAnsi" w:cs="Arial"/>
          <w:b/>
        </w:rPr>
        <w:t xml:space="preserve">Minutes – </w:t>
      </w:r>
      <w:r w:rsidR="001D730A">
        <w:rPr>
          <w:rFonts w:asciiTheme="minorHAnsi" w:hAnsiTheme="minorHAnsi" w:cs="Arial"/>
          <w:b/>
        </w:rPr>
        <w:t xml:space="preserve">November 15, 2017 </w:t>
      </w:r>
      <w:r w:rsidR="0002200F">
        <w:rPr>
          <w:rFonts w:asciiTheme="minorHAnsi" w:hAnsiTheme="minorHAnsi" w:cs="Arial"/>
          <w:b/>
        </w:rPr>
        <w:t>1</w:t>
      </w:r>
      <w:r w:rsidR="001D730A">
        <w:rPr>
          <w:rFonts w:asciiTheme="minorHAnsi" w:hAnsiTheme="minorHAnsi" w:cs="Arial"/>
          <w:b/>
        </w:rPr>
        <w:t>0</w:t>
      </w:r>
      <w:r w:rsidR="000F711F">
        <w:rPr>
          <w:rFonts w:asciiTheme="minorHAnsi" w:hAnsiTheme="minorHAnsi" w:cs="Arial"/>
          <w:b/>
        </w:rPr>
        <w:t>:</w:t>
      </w:r>
      <w:r w:rsidR="001D730A">
        <w:rPr>
          <w:rFonts w:asciiTheme="minorHAnsi" w:hAnsiTheme="minorHAnsi" w:cs="Arial"/>
          <w:b/>
        </w:rPr>
        <w:t>3</w:t>
      </w:r>
      <w:r w:rsidR="006D4E1B" w:rsidRPr="003D189F">
        <w:rPr>
          <w:rFonts w:asciiTheme="minorHAnsi" w:hAnsiTheme="minorHAnsi" w:cs="Arial"/>
          <w:b/>
        </w:rPr>
        <w:t xml:space="preserve">0 </w:t>
      </w:r>
      <w:r w:rsidR="001D730A">
        <w:rPr>
          <w:rFonts w:asciiTheme="minorHAnsi" w:hAnsiTheme="minorHAnsi" w:cs="Arial"/>
          <w:b/>
        </w:rPr>
        <w:t>A</w:t>
      </w:r>
      <w:r w:rsidR="006D4E1B" w:rsidRPr="003D189F">
        <w:rPr>
          <w:rFonts w:asciiTheme="minorHAnsi" w:hAnsiTheme="minorHAnsi" w:cs="Arial"/>
          <w:b/>
        </w:rPr>
        <w:t>M</w:t>
      </w:r>
    </w:p>
    <w:p w:rsidR="006A7A2D" w:rsidRPr="003D189F" w:rsidRDefault="006A7A2D" w:rsidP="00AB56CB">
      <w:pPr>
        <w:jc w:val="center"/>
        <w:rPr>
          <w:rFonts w:asciiTheme="minorHAnsi" w:hAnsiTheme="minorHAnsi" w:cs="Arial"/>
          <w:b/>
        </w:rPr>
      </w:pPr>
      <w:r w:rsidRPr="006A7A2D">
        <w:rPr>
          <w:rFonts w:asciiTheme="minorHAnsi" w:hAnsiTheme="minorHAnsi" w:cs="Arial"/>
          <w:b/>
        </w:rPr>
        <w:t xml:space="preserve">1-888-328-7940 </w:t>
      </w:r>
      <w:r w:rsidRPr="006A7A2D">
        <w:rPr>
          <w:rFonts w:asciiTheme="minorHAnsi" w:hAnsiTheme="minorHAnsi" w:cs="Arial"/>
          <w:b/>
        </w:rPr>
        <w:tab/>
        <w:t>8720280#</w:t>
      </w:r>
    </w:p>
    <w:p w:rsidR="00AB56CB" w:rsidRPr="006D4E1B" w:rsidRDefault="00AB56CB" w:rsidP="002534C0">
      <w:pPr>
        <w:rPr>
          <w:rFonts w:asciiTheme="minorHAnsi" w:hAnsiTheme="minorHAnsi" w:cs="Arial"/>
          <w:sz w:val="20"/>
          <w:szCs w:val="20"/>
        </w:rPr>
      </w:pPr>
    </w:p>
    <w:p w:rsidR="00AB56CB" w:rsidRPr="00883982" w:rsidRDefault="00AB56CB" w:rsidP="002534C0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</w:tblGrid>
      <w:tr w:rsidR="006A7A2D" w:rsidRPr="00373F71" w:rsidTr="005C431A">
        <w:tc>
          <w:tcPr>
            <w:tcW w:w="6408" w:type="dxa"/>
          </w:tcPr>
          <w:p w:rsidR="006A7A2D" w:rsidRPr="00373F71" w:rsidRDefault="006A7A2D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Attending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Default="006A7A2D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6A7A2D" w:rsidRPr="00A61BAC" w:rsidTr="005C431A">
        <w:tc>
          <w:tcPr>
            <w:tcW w:w="6408" w:type="dxa"/>
          </w:tcPr>
          <w:p w:rsidR="006A7A2D" w:rsidRPr="006A7A2D" w:rsidRDefault="006A7A2D" w:rsidP="00B46AA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A7A2D">
              <w:rPr>
                <w:rFonts w:asciiTheme="minorHAnsi" w:hAnsiTheme="minorHAnsi" w:cs="Arial"/>
                <w:b/>
                <w:sz w:val="20"/>
                <w:szCs w:val="20"/>
              </w:rPr>
              <w:t>Utilities: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Pr="00615FD5" w:rsidRDefault="006A7A2D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Emera Maine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Pr="008D4351" w:rsidRDefault="006A7A2D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sz w:val="20"/>
                <w:szCs w:val="20"/>
              </w:rPr>
              <w:t>Central Maine Power</w:t>
            </w:r>
          </w:p>
        </w:tc>
      </w:tr>
      <w:tr w:rsidR="006A7A2D" w:rsidRPr="00A61BAC" w:rsidTr="005C431A">
        <w:trPr>
          <w:trHeight w:val="257"/>
        </w:trPr>
        <w:tc>
          <w:tcPr>
            <w:tcW w:w="6408" w:type="dxa"/>
          </w:tcPr>
          <w:p w:rsidR="006A7A2D" w:rsidRPr="009D661F" w:rsidRDefault="006A7A2D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7A2D" w:rsidRPr="00A61BAC" w:rsidTr="005C431A">
        <w:trPr>
          <w:trHeight w:val="257"/>
        </w:trPr>
        <w:tc>
          <w:tcPr>
            <w:tcW w:w="6408" w:type="dxa"/>
          </w:tcPr>
          <w:p w:rsidR="006A7A2D" w:rsidRPr="006A7A2D" w:rsidRDefault="006A7A2D" w:rsidP="00B46AA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A7A2D">
              <w:rPr>
                <w:rFonts w:ascii="Calibri" w:hAnsi="Calibri"/>
                <w:b/>
                <w:color w:val="000000"/>
                <w:sz w:val="20"/>
                <w:szCs w:val="20"/>
              </w:rPr>
              <w:t>Suppliers and Providers: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Pr="009D661F" w:rsidRDefault="006A7A2D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ESG</w:t>
            </w:r>
          </w:p>
        </w:tc>
      </w:tr>
      <w:tr w:rsidR="006A7A2D" w:rsidRPr="00373F71" w:rsidTr="005C431A">
        <w:tc>
          <w:tcPr>
            <w:tcW w:w="6408" w:type="dxa"/>
          </w:tcPr>
          <w:p w:rsidR="006A7A2D" w:rsidRPr="009D661F" w:rsidRDefault="0002200F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ECI</w:t>
            </w:r>
          </w:p>
        </w:tc>
      </w:tr>
      <w:tr w:rsidR="006A7A2D" w:rsidRPr="00373F71" w:rsidTr="005C431A">
        <w:tc>
          <w:tcPr>
            <w:tcW w:w="6408" w:type="dxa"/>
          </w:tcPr>
          <w:p w:rsidR="006A7A2D" w:rsidRPr="009D661F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ME</w:t>
            </w:r>
          </w:p>
        </w:tc>
      </w:tr>
      <w:tr w:rsidR="006A7A2D" w:rsidRPr="00373F71" w:rsidTr="005C431A">
        <w:tc>
          <w:tcPr>
            <w:tcW w:w="6408" w:type="dxa"/>
          </w:tcPr>
          <w:p w:rsidR="006A7A2D" w:rsidRPr="009D661F" w:rsidRDefault="0002200F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Hansen Technologies</w:t>
            </w:r>
          </w:p>
        </w:tc>
      </w:tr>
      <w:tr w:rsidR="006A7A2D" w:rsidRPr="00A61BAC" w:rsidTr="005C431A">
        <w:tc>
          <w:tcPr>
            <w:tcW w:w="6408" w:type="dxa"/>
          </w:tcPr>
          <w:p w:rsidR="001D730A" w:rsidRPr="006C7E1E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ATMS</w:t>
            </w:r>
          </w:p>
        </w:tc>
      </w:tr>
      <w:tr w:rsidR="006A7A2D" w:rsidRPr="00FF67B1" w:rsidTr="005C431A">
        <w:tc>
          <w:tcPr>
            <w:tcW w:w="6408" w:type="dxa"/>
          </w:tcPr>
          <w:p w:rsidR="006A7A2D" w:rsidRPr="006C7E1E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Calpine</w:t>
            </w:r>
          </w:p>
        </w:tc>
      </w:tr>
      <w:tr w:rsidR="006A7A2D" w:rsidRPr="00FF67B1" w:rsidTr="005C431A">
        <w:tc>
          <w:tcPr>
            <w:tcW w:w="6408" w:type="dxa"/>
          </w:tcPr>
          <w:p w:rsidR="006A7A2D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Intelometry</w:t>
            </w:r>
            <w:proofErr w:type="spellEnd"/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Ambit</w:t>
            </w:r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Xoom</w:t>
            </w:r>
            <w:proofErr w:type="spellEnd"/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Direct</w:t>
            </w:r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Engie</w:t>
            </w:r>
            <w:proofErr w:type="spellEnd"/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NextEra</w:t>
            </w:r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Constellation</w:t>
            </w:r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Mint</w:t>
            </w:r>
          </w:p>
        </w:tc>
      </w:tr>
      <w:tr w:rsidR="001D730A" w:rsidRPr="00FF67B1" w:rsidTr="005C431A">
        <w:tc>
          <w:tcPr>
            <w:tcW w:w="6408" w:type="dxa"/>
          </w:tcPr>
          <w:p w:rsidR="001D730A" w:rsidRPr="00D2106B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2106B">
              <w:rPr>
                <w:rFonts w:ascii="Calibri" w:hAnsi="Calibri"/>
                <w:color w:val="000000"/>
                <w:sz w:val="20"/>
                <w:szCs w:val="20"/>
              </w:rPr>
              <w:t>CN Brown</w:t>
            </w:r>
          </w:p>
        </w:tc>
      </w:tr>
      <w:tr w:rsidR="001D730A" w:rsidRPr="00FF67B1" w:rsidTr="005C431A">
        <w:tc>
          <w:tcPr>
            <w:tcW w:w="6408" w:type="dxa"/>
          </w:tcPr>
          <w:p w:rsidR="001D730A" w:rsidRPr="00D2106B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D2106B">
              <w:rPr>
                <w:rFonts w:ascii="Calibri" w:hAnsi="Calibri"/>
                <w:color w:val="000000"/>
                <w:sz w:val="20"/>
                <w:szCs w:val="20"/>
              </w:rPr>
              <w:t>Fairpoint</w:t>
            </w:r>
            <w:proofErr w:type="spellEnd"/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North American Power</w:t>
            </w:r>
          </w:p>
        </w:tc>
      </w:tr>
      <w:tr w:rsidR="001D730A" w:rsidRPr="00FF67B1" w:rsidTr="005C431A">
        <w:tc>
          <w:tcPr>
            <w:tcW w:w="6408" w:type="dxa"/>
          </w:tcPr>
          <w:p w:rsidR="001D730A" w:rsidRDefault="001D730A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E79EB" w:rsidRDefault="00DE79EB" w:rsidP="00C264E3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7A55F0" w:rsidRPr="00C30113" w:rsidRDefault="00B46AA4" w:rsidP="001D730A">
      <w:pPr>
        <w:pStyle w:val="ListParagraph"/>
        <w:numPr>
          <w:ilvl w:val="0"/>
          <w:numId w:val="13"/>
        </w:numPr>
        <w:rPr>
          <w:rFonts w:asciiTheme="minorHAnsi" w:hAnsiTheme="minorHAnsi"/>
          <w:b/>
          <w:u w:val="single"/>
        </w:rPr>
      </w:pPr>
      <w:r w:rsidRPr="002C6C99">
        <w:rPr>
          <w:rFonts w:asciiTheme="minorHAnsi" w:hAnsiTheme="minorHAnsi"/>
          <w:b/>
        </w:rPr>
        <w:t>Roll Call</w:t>
      </w:r>
    </w:p>
    <w:p w:rsidR="001D730A" w:rsidRPr="001D730A" w:rsidRDefault="001D730A" w:rsidP="001D730A">
      <w:pPr>
        <w:pStyle w:val="ListParagraph"/>
        <w:numPr>
          <w:ilvl w:val="0"/>
          <w:numId w:val="13"/>
        </w:numPr>
        <w:rPr>
          <w:rFonts w:asciiTheme="minorHAnsi" w:hAnsiTheme="minorHAnsi"/>
          <w:b/>
        </w:rPr>
      </w:pPr>
      <w:r w:rsidRPr="001D730A">
        <w:rPr>
          <w:rFonts w:asciiTheme="minorHAnsi" w:hAnsiTheme="minorHAnsi"/>
          <w:b/>
        </w:rPr>
        <w:t>Standards book (new documentation)</w:t>
      </w:r>
    </w:p>
    <w:p w:rsidR="00C30113" w:rsidRPr="001D730A" w:rsidRDefault="001D730A" w:rsidP="001D730A">
      <w:pPr>
        <w:pStyle w:val="ListParagraph"/>
        <w:rPr>
          <w:rFonts w:asciiTheme="minorHAnsi" w:hAnsiTheme="minorHAnsi"/>
        </w:rPr>
      </w:pPr>
      <w:proofErr w:type="gramStart"/>
      <w:r w:rsidRPr="001D730A">
        <w:rPr>
          <w:rFonts w:asciiTheme="minorHAnsi" w:hAnsiTheme="minorHAnsi"/>
        </w:rPr>
        <w:t>Kim Wall and Monica Neibert to work on review with utilities.</w:t>
      </w:r>
      <w:proofErr w:type="gramEnd"/>
    </w:p>
    <w:p w:rsidR="00C30113" w:rsidRPr="00C30113" w:rsidRDefault="00C30113" w:rsidP="00C30113">
      <w:pPr>
        <w:rPr>
          <w:rFonts w:asciiTheme="minorHAnsi" w:hAnsiTheme="minorHAnsi"/>
          <w:b/>
          <w:u w:val="single"/>
        </w:rPr>
      </w:pPr>
    </w:p>
    <w:p w:rsidR="001D730A" w:rsidRPr="001D730A" w:rsidRDefault="001D730A" w:rsidP="001D730A">
      <w:pPr>
        <w:pStyle w:val="ListParagraph"/>
        <w:numPr>
          <w:ilvl w:val="0"/>
          <w:numId w:val="13"/>
        </w:numPr>
        <w:rPr>
          <w:rFonts w:asciiTheme="minorHAnsi" w:hAnsiTheme="minorHAnsi"/>
          <w:b/>
        </w:rPr>
      </w:pPr>
      <w:r w:rsidRPr="001D730A">
        <w:rPr>
          <w:rFonts w:asciiTheme="minorHAnsi" w:hAnsiTheme="minorHAnsi"/>
          <w:b/>
        </w:rPr>
        <w:t>867 HU requests if there is no usage available-only cap tag</w:t>
      </w:r>
    </w:p>
    <w:p w:rsidR="001D730A" w:rsidRDefault="001D730A" w:rsidP="001D730A">
      <w:pPr>
        <w:pStyle w:val="ListParagraph"/>
        <w:tabs>
          <w:tab w:val="left" w:pos="360"/>
        </w:tabs>
        <w:rPr>
          <w:rFonts w:asciiTheme="minorHAnsi" w:hAnsiTheme="minorHAnsi"/>
          <w:b/>
        </w:rPr>
      </w:pPr>
      <w:r w:rsidRPr="001D730A">
        <w:rPr>
          <w:rFonts w:asciiTheme="minorHAnsi" w:hAnsiTheme="minorHAnsi"/>
        </w:rPr>
        <w:t>Suppliers wish to continue to receive the transaction if only the CAP tag is available. Kim Wall offered to assist in EDI formatting advising.</w:t>
      </w:r>
    </w:p>
    <w:p w:rsidR="001D730A" w:rsidRDefault="001D730A" w:rsidP="001D730A">
      <w:pPr>
        <w:tabs>
          <w:tab w:val="left" w:pos="360"/>
        </w:tabs>
        <w:ind w:left="360"/>
        <w:rPr>
          <w:rFonts w:asciiTheme="minorHAnsi" w:hAnsiTheme="minorHAnsi"/>
          <w:b/>
        </w:rPr>
      </w:pPr>
    </w:p>
    <w:p w:rsidR="001D730A" w:rsidRPr="001D730A" w:rsidRDefault="001D730A" w:rsidP="001D730A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Theme="minorHAnsi" w:hAnsiTheme="minorHAnsi"/>
        </w:rPr>
      </w:pPr>
      <w:r w:rsidRPr="001D730A">
        <w:rPr>
          <w:rFonts w:asciiTheme="minorHAnsi" w:hAnsiTheme="minorHAnsi"/>
          <w:b/>
        </w:rPr>
        <w:t>Current process for sending a drop when account is pending an enrollment with a new supplier.  New system does not send the drop until the account is 3 days from billing</w:t>
      </w:r>
    </w:p>
    <w:p w:rsidR="001D730A" w:rsidRPr="001D730A" w:rsidRDefault="001D730A" w:rsidP="001D730A">
      <w:pPr>
        <w:tabs>
          <w:tab w:val="left" w:pos="36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The drop should be sent the same time that the enrollment response is sent.</w:t>
      </w:r>
    </w:p>
    <w:p w:rsidR="001D730A" w:rsidRDefault="001D730A" w:rsidP="00C30113">
      <w:pPr>
        <w:pStyle w:val="ListParagraph"/>
        <w:ind w:left="360"/>
        <w:rPr>
          <w:rFonts w:asciiTheme="minorHAnsi" w:hAnsiTheme="minorHAnsi"/>
          <w:b/>
        </w:rPr>
      </w:pPr>
    </w:p>
    <w:p w:rsidR="00C30113" w:rsidRDefault="001D730A" w:rsidP="00C3011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Additional items:</w:t>
      </w:r>
    </w:p>
    <w:p w:rsidR="001D730A" w:rsidRDefault="001D730A" w:rsidP="00AC24F1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New mapping for rate code – residential. No new rate classes</w:t>
      </w:r>
    </w:p>
    <w:p w:rsidR="001D730A" w:rsidRDefault="001D730A" w:rsidP="00AC24F1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Net Metering: PUC CH 313 Rules become effective 1/1/18 but were not issued in time for CMP to implement with conversion. CMP will manually bill in order to comply. 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2018: </w:t>
      </w:r>
      <w:r w:rsidR="00446BD6">
        <w:rPr>
          <w:rFonts w:ascii="Calibri" w:hAnsi="Calibri"/>
          <w:sz w:val="22"/>
          <w:szCs w:val="22"/>
        </w:rPr>
        <w:t xml:space="preserve">For Net Energy accounts that become operational in 2018, </w:t>
      </w:r>
      <w:r>
        <w:rPr>
          <w:rFonts w:ascii="Calibri" w:hAnsi="Calibri"/>
          <w:sz w:val="22"/>
          <w:szCs w:val="22"/>
        </w:rPr>
        <w:t>Net 90% of generation towards T&amp;G consumption, 100% to supply</w:t>
      </w:r>
      <w:r w:rsidR="00446BD6">
        <w:rPr>
          <w:rFonts w:ascii="Calibri" w:hAnsi="Calibri"/>
          <w:sz w:val="22"/>
          <w:szCs w:val="22"/>
        </w:rPr>
        <w:t xml:space="preserve"> for 15 years</w:t>
      </w:r>
      <w:r>
        <w:rPr>
          <w:rFonts w:ascii="Calibri" w:hAnsi="Calibri"/>
          <w:sz w:val="22"/>
          <w:szCs w:val="22"/>
        </w:rPr>
        <w:t>.  EDI will be the 100% (CMP &amp; EMERA confirmed)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2019: </w:t>
      </w:r>
      <w:r w:rsidR="00446BD6">
        <w:rPr>
          <w:rFonts w:ascii="Calibri" w:hAnsi="Calibri"/>
          <w:sz w:val="22"/>
          <w:szCs w:val="22"/>
        </w:rPr>
        <w:t>For Net Energy accounts that become operational in 201</w:t>
      </w:r>
      <w:r w:rsidR="00446BD6">
        <w:rPr>
          <w:rFonts w:ascii="Calibri" w:hAnsi="Calibri"/>
          <w:sz w:val="22"/>
          <w:szCs w:val="22"/>
        </w:rPr>
        <w:t>9</w:t>
      </w:r>
      <w:r w:rsidR="00446BD6">
        <w:rPr>
          <w:rFonts w:ascii="Calibri" w:hAnsi="Calibri"/>
          <w:sz w:val="22"/>
          <w:szCs w:val="22"/>
        </w:rPr>
        <w:t xml:space="preserve">, Net </w:t>
      </w:r>
      <w:r w:rsidR="00446BD6">
        <w:rPr>
          <w:rFonts w:ascii="Calibri" w:hAnsi="Calibri"/>
          <w:sz w:val="22"/>
          <w:szCs w:val="22"/>
        </w:rPr>
        <w:t>8</w:t>
      </w:r>
      <w:r w:rsidR="00446BD6">
        <w:rPr>
          <w:rFonts w:ascii="Calibri" w:hAnsi="Calibri"/>
          <w:sz w:val="22"/>
          <w:szCs w:val="22"/>
        </w:rPr>
        <w:t xml:space="preserve">0% of generation towards T&amp;G consumption, 100% to supply for 15 years.  </w:t>
      </w:r>
    </w:p>
    <w:p w:rsidR="00446BD6" w:rsidRDefault="00446BD6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Year subsequent year drops down by 10% on T&amp;D and supply remains at 100% for new net energy accounts that become operational within that vintage year.  Contracts have a life of 15 years and then all T&amp;D credits go to 0% and supply remains at 100%.</w:t>
      </w:r>
    </w:p>
    <w:p w:rsidR="00446BD6" w:rsidRDefault="00446BD6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Grandfathered accounts that become operational on or before 12/31/2017 receive 100% credit for both T&amp;D and Supply for 15 years.</w:t>
      </w:r>
      <w:proofErr w:type="gramEnd"/>
      <w:r>
        <w:rPr>
          <w:rFonts w:ascii="Calibri" w:hAnsi="Calibri"/>
          <w:sz w:val="22"/>
          <w:szCs w:val="22"/>
        </w:rPr>
        <w:t xml:space="preserve">  In year 16, those grandfathered account will receive 0% for T&amp;D and 100% for supply.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Sample bill</w:t>
      </w:r>
      <w:r w:rsidR="00446BD6">
        <w:rPr>
          <w:rFonts w:ascii="Calibri" w:hAnsi="Calibri"/>
          <w:sz w:val="22"/>
          <w:szCs w:val="22"/>
        </w:rPr>
        <w:t xml:space="preserve"> showing the 1/1/2018 rule change was requested.  </w:t>
      </w:r>
      <w:proofErr w:type="gramStart"/>
      <w:r w:rsidR="00446BD6">
        <w:rPr>
          <w:rFonts w:ascii="Calibri" w:hAnsi="Calibri"/>
          <w:sz w:val="22"/>
          <w:szCs w:val="22"/>
        </w:rPr>
        <w:t>Neither CMP or</w:t>
      </w:r>
      <w:proofErr w:type="gramEnd"/>
      <w:r w:rsidR="00446BD6">
        <w:rPr>
          <w:rFonts w:ascii="Calibri" w:hAnsi="Calibri"/>
          <w:sz w:val="22"/>
          <w:szCs w:val="22"/>
        </w:rPr>
        <w:t xml:space="preserve"> Emera Maine have prototypes to show suppliers or customer as both companies are in the design phase.  The 1/1/2018 rule changes for net energy billing will be hand-billed by both utilities until system code changes can be made to implement the changes.  If necessary, </w:t>
      </w:r>
      <w:r>
        <w:rPr>
          <w:rFonts w:ascii="Calibri" w:hAnsi="Calibri"/>
          <w:sz w:val="22"/>
          <w:szCs w:val="22"/>
        </w:rPr>
        <w:t xml:space="preserve">and EDI </w:t>
      </w:r>
      <w:r w:rsidR="00446BD6">
        <w:rPr>
          <w:rFonts w:ascii="Calibri" w:hAnsi="Calibri"/>
          <w:sz w:val="22"/>
          <w:szCs w:val="22"/>
        </w:rPr>
        <w:t>transactions do not contain the correct net supply kWh, the utilities will send</w:t>
      </w:r>
      <w:r>
        <w:rPr>
          <w:rFonts w:ascii="Calibri" w:hAnsi="Calibri"/>
          <w:sz w:val="22"/>
          <w:szCs w:val="22"/>
        </w:rPr>
        <w:t xml:space="preserve"> follow up email</w:t>
      </w:r>
      <w:r w:rsidR="00446BD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with details, </w:t>
      </w:r>
      <w:r w:rsidR="00446BD6">
        <w:rPr>
          <w:rFonts w:ascii="Calibri" w:hAnsi="Calibri"/>
          <w:sz w:val="22"/>
          <w:szCs w:val="22"/>
        </w:rPr>
        <w:t>to the suppliers serving accounts that are impacted by the rule change.</w:t>
      </w:r>
      <w:r>
        <w:rPr>
          <w:rFonts w:ascii="Calibri" w:hAnsi="Calibri"/>
          <w:sz w:val="22"/>
          <w:szCs w:val="22"/>
        </w:rPr>
        <w:t> </w:t>
      </w:r>
    </w:p>
    <w:p w:rsidR="00AC24F1" w:rsidRDefault="00AC24F1" w:rsidP="00AC24F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Austin - Constellation:  load profiles.  Profile classes changed at all? 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there are still </w:t>
      </w:r>
      <w:proofErr w:type="spellStart"/>
      <w:r>
        <w:rPr>
          <w:rFonts w:ascii="Calibri" w:hAnsi="Calibri"/>
          <w:sz w:val="22"/>
          <w:szCs w:val="22"/>
        </w:rPr>
        <w:t>Resi</w:t>
      </w:r>
      <w:proofErr w:type="spellEnd"/>
      <w:r>
        <w:rPr>
          <w:rFonts w:ascii="Calibri" w:hAnsi="Calibri"/>
          <w:sz w:val="22"/>
          <w:szCs w:val="22"/>
        </w:rPr>
        <w:t>, SCI, LCI, TLM Telemetered</w:t>
      </w:r>
      <w:r w:rsidR="00446BD6">
        <w:rPr>
          <w:rFonts w:ascii="Calibri" w:hAnsi="Calibri"/>
          <w:sz w:val="22"/>
          <w:szCs w:val="22"/>
        </w:rPr>
        <w:t xml:space="preserve"> (uses the actual hourly loads for large customers and settlement creates a unique profile for large accounts with missing hourly data)</w:t>
      </w:r>
      <w:r>
        <w:rPr>
          <w:rFonts w:ascii="Calibri" w:hAnsi="Calibri"/>
          <w:sz w:val="22"/>
          <w:szCs w:val="22"/>
        </w:rPr>
        <w:t>, Unmetered.  DMLTLSOP street lights &amp; area lights - deemed.  Telemetered are large customers and have interval/AMI</w:t>
      </w:r>
    </w:p>
    <w:p w:rsidR="00AC24F1" w:rsidRDefault="00AC24F1" w:rsidP="00AC24F1">
      <w:pPr>
        <w:pStyle w:val="NormalWeb"/>
        <w:spacing w:before="0" w:beforeAutospacing="0" w:after="0" w:afterAutospacing="0"/>
        <w:ind w:left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AC24F1" w:rsidRDefault="00AC24F1" w:rsidP="00AC24F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Monica - ESG: N18R customer address on 814s other than Seamless Move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AC24F1" w:rsidRDefault="00AC24F1" w:rsidP="00AC24F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Sandra - NextEra:  810 Batch 3 what cycle number are they on. 99 </w:t>
      </w:r>
      <w:proofErr w:type="gramStart"/>
      <w:r>
        <w:rPr>
          <w:rFonts w:ascii="Calibri" w:hAnsi="Calibri"/>
          <w:sz w:val="22"/>
          <w:szCs w:val="22"/>
        </w:rPr>
        <w:t>is</w:t>
      </w:r>
      <w:proofErr w:type="gramEnd"/>
      <w:r>
        <w:rPr>
          <w:rFonts w:ascii="Calibri" w:hAnsi="Calibri"/>
          <w:sz w:val="22"/>
          <w:szCs w:val="22"/>
        </w:rPr>
        <w:t xml:space="preserve"> being sent. To be corrected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AC24F1" w:rsidRDefault="00AC24F1" w:rsidP="00AC24F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Kristen -Calpine:  New rate codes missing cross reference to old.</w:t>
      </w:r>
    </w:p>
    <w:p w:rsidR="00AC24F1" w:rsidRPr="00D2106B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 w:rsidRPr="00D2106B">
        <w:rPr>
          <w:rFonts w:ascii="Calibri" w:hAnsi="Calibri"/>
          <w:sz w:val="22"/>
          <w:szCs w:val="22"/>
        </w:rPr>
        <w:t>1 - Res</w:t>
      </w:r>
      <w:r w:rsidR="00D2106B" w:rsidRPr="00D2106B">
        <w:rPr>
          <w:rFonts w:ascii="Calibri" w:hAnsi="Calibri"/>
          <w:sz w:val="22"/>
          <w:szCs w:val="22"/>
        </w:rPr>
        <w:t>idential</w:t>
      </w:r>
    </w:p>
    <w:p w:rsidR="00AC24F1" w:rsidRPr="00D2106B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 w:rsidRPr="00D2106B">
        <w:rPr>
          <w:rFonts w:ascii="Calibri" w:hAnsi="Calibri"/>
          <w:sz w:val="22"/>
          <w:szCs w:val="22"/>
        </w:rPr>
        <w:t xml:space="preserve">2 </w:t>
      </w:r>
      <w:r w:rsidR="00446BD6" w:rsidRPr="00D2106B">
        <w:rPr>
          <w:rFonts w:ascii="Calibri" w:hAnsi="Calibri"/>
          <w:sz w:val="22"/>
          <w:szCs w:val="22"/>
        </w:rPr>
        <w:t>–</w:t>
      </w:r>
      <w:r w:rsidRPr="00D2106B">
        <w:rPr>
          <w:rFonts w:ascii="Calibri" w:hAnsi="Calibri"/>
          <w:sz w:val="22"/>
          <w:szCs w:val="22"/>
        </w:rPr>
        <w:t xml:space="preserve"> Sm</w:t>
      </w:r>
      <w:r w:rsidR="00446BD6" w:rsidRPr="00D2106B">
        <w:rPr>
          <w:rFonts w:ascii="Calibri" w:hAnsi="Calibri"/>
          <w:sz w:val="22"/>
          <w:szCs w:val="22"/>
        </w:rPr>
        <w:t xml:space="preserve"> Commercial</w:t>
      </w:r>
    </w:p>
    <w:p w:rsidR="00AC24F1" w:rsidRPr="00D2106B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 w:rsidRPr="00D2106B">
        <w:rPr>
          <w:rFonts w:ascii="Calibri" w:hAnsi="Calibri"/>
          <w:sz w:val="22"/>
          <w:szCs w:val="22"/>
        </w:rPr>
        <w:t xml:space="preserve">3 </w:t>
      </w:r>
      <w:r w:rsidR="00446BD6" w:rsidRPr="00D2106B">
        <w:rPr>
          <w:rFonts w:ascii="Calibri" w:hAnsi="Calibri"/>
          <w:sz w:val="22"/>
          <w:szCs w:val="22"/>
        </w:rPr>
        <w:t>–</w:t>
      </w:r>
      <w:r w:rsidRPr="00D2106B">
        <w:rPr>
          <w:rFonts w:ascii="Calibri" w:hAnsi="Calibri"/>
          <w:sz w:val="22"/>
          <w:szCs w:val="22"/>
        </w:rPr>
        <w:t xml:space="preserve"> </w:t>
      </w:r>
      <w:proofErr w:type="spellStart"/>
      <w:r w:rsidR="00446BD6" w:rsidRPr="00D2106B">
        <w:rPr>
          <w:rFonts w:ascii="Calibri" w:hAnsi="Calibri"/>
          <w:sz w:val="22"/>
          <w:szCs w:val="22"/>
        </w:rPr>
        <w:t>Md</w:t>
      </w:r>
      <w:proofErr w:type="spellEnd"/>
      <w:r w:rsidR="00446BD6" w:rsidRPr="00D2106B">
        <w:rPr>
          <w:rFonts w:ascii="Calibri" w:hAnsi="Calibri"/>
          <w:sz w:val="22"/>
          <w:szCs w:val="22"/>
        </w:rPr>
        <w:t xml:space="preserve"> Commercial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 w:rsidRPr="00D2106B">
        <w:rPr>
          <w:rFonts w:ascii="Calibri" w:hAnsi="Calibri"/>
          <w:sz w:val="22"/>
          <w:szCs w:val="22"/>
        </w:rPr>
        <w:t xml:space="preserve">4 </w:t>
      </w:r>
      <w:r w:rsidR="00D2106B" w:rsidRPr="00D2106B">
        <w:rPr>
          <w:rFonts w:ascii="Calibri" w:hAnsi="Calibri"/>
          <w:sz w:val="22"/>
          <w:szCs w:val="22"/>
        </w:rPr>
        <w:t>–</w:t>
      </w:r>
      <w:r w:rsidRPr="00D2106B">
        <w:rPr>
          <w:rFonts w:ascii="Calibri" w:hAnsi="Calibri"/>
          <w:sz w:val="22"/>
          <w:szCs w:val="22"/>
        </w:rPr>
        <w:t xml:space="preserve"> </w:t>
      </w:r>
      <w:proofErr w:type="spellStart"/>
      <w:r w:rsidR="00D2106B" w:rsidRPr="00D2106B">
        <w:rPr>
          <w:rFonts w:ascii="Calibri" w:hAnsi="Calibri"/>
          <w:sz w:val="22"/>
          <w:szCs w:val="22"/>
        </w:rPr>
        <w:t>Lg</w:t>
      </w:r>
      <w:proofErr w:type="spellEnd"/>
      <w:r w:rsidR="00D2106B" w:rsidRPr="00D2106B">
        <w:rPr>
          <w:rFonts w:ascii="Calibri" w:hAnsi="Calibri"/>
          <w:sz w:val="22"/>
          <w:szCs w:val="22"/>
        </w:rPr>
        <w:t xml:space="preserve"> Commercial</w:t>
      </w:r>
      <w:r w:rsidR="00D2106B">
        <w:rPr>
          <w:rFonts w:ascii="Calibri" w:hAnsi="Calibri"/>
          <w:sz w:val="22"/>
          <w:szCs w:val="22"/>
        </w:rPr>
        <w:t xml:space="preserve"> &amp; Industrial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 </w:t>
      </w:r>
      <w:r w:rsidR="00D2106B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="00D2106B">
        <w:rPr>
          <w:rFonts w:ascii="Calibri" w:hAnsi="Calibri"/>
          <w:sz w:val="22"/>
          <w:szCs w:val="22"/>
        </w:rPr>
        <w:t>Street and Area Lighting – Unmetered Plans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AC24F1" w:rsidRDefault="00D2106B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Rate Identifier (col b) is sent</w:t>
      </w:r>
      <w:r w:rsidR="00AC24F1">
        <w:rPr>
          <w:rFonts w:ascii="Calibri" w:hAnsi="Calibri"/>
          <w:sz w:val="22"/>
          <w:szCs w:val="22"/>
        </w:rPr>
        <w:t xml:space="preserve"> in EDI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AC24F1" w:rsidRPr="00D2106B" w:rsidRDefault="00AC24F1" w:rsidP="00AC24F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D2106B">
        <w:rPr>
          <w:rFonts w:ascii="Calibri" w:hAnsi="Calibri"/>
          <w:sz w:val="22"/>
          <w:szCs w:val="22"/>
        </w:rPr>
        <w:t>PUC rep Matt</w:t>
      </w:r>
      <w:r w:rsidR="00D2106B" w:rsidRPr="00D2106B">
        <w:rPr>
          <w:rFonts w:ascii="Calibri" w:hAnsi="Calibri"/>
          <w:sz w:val="22"/>
          <w:szCs w:val="22"/>
        </w:rPr>
        <w:t>hew</w:t>
      </w:r>
      <w:r w:rsidRPr="00D2106B">
        <w:rPr>
          <w:rFonts w:ascii="Calibri" w:hAnsi="Calibri"/>
          <w:sz w:val="22"/>
          <w:szCs w:val="22"/>
        </w:rPr>
        <w:t xml:space="preserve"> Rol</w:t>
      </w:r>
      <w:r w:rsidR="00D2106B" w:rsidRPr="00D2106B">
        <w:rPr>
          <w:rFonts w:ascii="Calibri" w:hAnsi="Calibri"/>
          <w:sz w:val="22"/>
          <w:szCs w:val="22"/>
        </w:rPr>
        <w:t>nick</w:t>
      </w:r>
      <w:r w:rsidRPr="00D2106B">
        <w:rPr>
          <w:rFonts w:ascii="Calibri" w:hAnsi="Calibri"/>
          <w:sz w:val="22"/>
          <w:szCs w:val="22"/>
        </w:rPr>
        <w:t>, include in meeting invites.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AC24F1" w:rsidRDefault="00AC24F1" w:rsidP="00AC24F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Next meeting</w:t>
      </w:r>
      <w:r w:rsidR="00D2106B">
        <w:rPr>
          <w:rFonts w:ascii="Calibri" w:hAnsi="Calibri"/>
          <w:b/>
          <w:bCs/>
          <w:sz w:val="22"/>
          <w:szCs w:val="22"/>
        </w:rPr>
        <w:t xml:space="preserve"> quarterly Maine EBT Meeting will be</w:t>
      </w:r>
      <w:r>
        <w:rPr>
          <w:rFonts w:ascii="Calibri" w:hAnsi="Calibri"/>
          <w:b/>
          <w:bCs/>
          <w:sz w:val="22"/>
          <w:szCs w:val="22"/>
        </w:rPr>
        <w:t xml:space="preserve"> in February</w:t>
      </w:r>
      <w:r w:rsidR="00D2106B">
        <w:rPr>
          <w:rFonts w:ascii="Calibri" w:hAnsi="Calibri"/>
          <w:b/>
          <w:bCs/>
          <w:sz w:val="22"/>
          <w:szCs w:val="22"/>
        </w:rPr>
        <w:t xml:space="preserve"> of 2018.    CMP has posted the 2018 schedule on the Maine EBT section of their web site.</w:t>
      </w:r>
    </w:p>
    <w:p w:rsidR="00AC24F1" w:rsidRDefault="00AC24F1" w:rsidP="00AC24F1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AC24F1" w:rsidRDefault="00AC24F1" w:rsidP="00C30113">
      <w:pPr>
        <w:pStyle w:val="ListParagraph"/>
        <w:ind w:left="360"/>
        <w:rPr>
          <w:rFonts w:asciiTheme="minorHAnsi" w:hAnsiTheme="minorHAnsi"/>
        </w:rPr>
      </w:pPr>
    </w:p>
    <w:sectPr w:rsidR="00AC24F1" w:rsidSect="00C264E3">
      <w:headerReference w:type="default" r:id="rId8"/>
      <w:footerReference w:type="default" r:id="rId9"/>
      <w:pgSz w:w="12240" w:h="15840"/>
      <w:pgMar w:top="1740" w:right="1800" w:bottom="720" w:left="1440" w:header="10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D1" w:rsidRDefault="00CE08D1" w:rsidP="00373F71">
      <w:r>
        <w:separator/>
      </w:r>
    </w:p>
  </w:endnote>
  <w:endnote w:type="continuationSeparator" w:id="0">
    <w:p w:rsidR="00CE08D1" w:rsidRDefault="00CE08D1" w:rsidP="003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51" w:rsidRDefault="008D4351" w:rsidP="00373F71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right" w:pos="8640"/>
      </w:tabs>
      <w:rPr>
        <w:rFonts w:asciiTheme="majorHAnsi" w:hAnsiTheme="majorHAnsi"/>
      </w:rPr>
    </w:pPr>
    <w:r w:rsidRPr="00373F71">
      <w:rPr>
        <w:rFonts w:asciiTheme="minorHAnsi" w:hAnsiTheme="minorHAnsi"/>
        <w:sz w:val="20"/>
        <w:szCs w:val="20"/>
      </w:rPr>
      <w:tab/>
      <w:t xml:space="preserve">Page </w:t>
    </w:r>
    <w:r w:rsidRPr="00373F71">
      <w:rPr>
        <w:rFonts w:asciiTheme="minorHAnsi" w:hAnsiTheme="minorHAnsi"/>
        <w:sz w:val="20"/>
        <w:szCs w:val="20"/>
      </w:rPr>
      <w:fldChar w:fldCharType="begin"/>
    </w:r>
    <w:r w:rsidRPr="00373F71">
      <w:rPr>
        <w:rFonts w:asciiTheme="minorHAnsi" w:hAnsiTheme="minorHAnsi"/>
        <w:sz w:val="20"/>
        <w:szCs w:val="20"/>
      </w:rPr>
      <w:instrText xml:space="preserve"> PAGE   \* MERGEFORMAT </w:instrText>
    </w:r>
    <w:r w:rsidRPr="00373F71">
      <w:rPr>
        <w:rFonts w:asciiTheme="minorHAnsi" w:hAnsiTheme="minorHAnsi"/>
        <w:sz w:val="20"/>
        <w:szCs w:val="20"/>
      </w:rPr>
      <w:fldChar w:fldCharType="separate"/>
    </w:r>
    <w:r w:rsidR="00A846F2">
      <w:rPr>
        <w:rFonts w:asciiTheme="minorHAnsi" w:hAnsiTheme="minorHAnsi"/>
        <w:noProof/>
        <w:sz w:val="20"/>
        <w:szCs w:val="20"/>
      </w:rPr>
      <w:t>1</w:t>
    </w:r>
    <w:r w:rsidRPr="00373F71">
      <w:rPr>
        <w:rFonts w:asciiTheme="minorHAnsi" w:hAnsiTheme="minorHAnsi"/>
        <w:sz w:val="20"/>
        <w:szCs w:val="20"/>
      </w:rPr>
      <w:fldChar w:fldCharType="end"/>
    </w:r>
  </w:p>
  <w:p w:rsidR="008D4351" w:rsidRDefault="008D4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D1" w:rsidRDefault="00CE08D1" w:rsidP="00373F71">
      <w:r>
        <w:separator/>
      </w:r>
    </w:p>
  </w:footnote>
  <w:footnote w:type="continuationSeparator" w:id="0">
    <w:p w:rsidR="00CE08D1" w:rsidRDefault="00CE08D1" w:rsidP="0037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51" w:rsidRDefault="008D435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inorHAnsi" w:eastAsiaTheme="majorEastAsia" w:hAnsiTheme="minorHAnsi" w:cstheme="majorBidi"/>
        <w:sz w:val="40"/>
        <w:szCs w:val="40"/>
      </w:rPr>
      <w:t>ME</w:t>
    </w:r>
    <w:r w:rsidRPr="00373F71">
      <w:rPr>
        <w:rFonts w:asciiTheme="minorHAnsi" w:eastAsiaTheme="majorEastAsia" w:hAnsiTheme="minorHAnsi" w:cstheme="majorBidi"/>
        <w:sz w:val="40"/>
        <w:szCs w:val="40"/>
      </w:rPr>
      <w:t xml:space="preserve"> EBT Working Group Meeting</w:t>
    </w:r>
  </w:p>
  <w:p w:rsidR="008D4351" w:rsidRDefault="008D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6F9"/>
    <w:multiLevelType w:val="hybridMultilevel"/>
    <w:tmpl w:val="9A08B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E3A50"/>
    <w:multiLevelType w:val="hybridMultilevel"/>
    <w:tmpl w:val="A8600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A462A"/>
    <w:multiLevelType w:val="hybridMultilevel"/>
    <w:tmpl w:val="CCC8C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A31BEA"/>
    <w:multiLevelType w:val="hybridMultilevel"/>
    <w:tmpl w:val="40D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51120"/>
    <w:multiLevelType w:val="hybridMultilevel"/>
    <w:tmpl w:val="7408D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2140C1"/>
    <w:multiLevelType w:val="hybridMultilevel"/>
    <w:tmpl w:val="D3B44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E356C9"/>
    <w:multiLevelType w:val="hybridMultilevel"/>
    <w:tmpl w:val="74DA3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868F3"/>
    <w:multiLevelType w:val="hybridMultilevel"/>
    <w:tmpl w:val="DCE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4136D"/>
    <w:multiLevelType w:val="hybridMultilevel"/>
    <w:tmpl w:val="C2C205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D640C"/>
    <w:multiLevelType w:val="hybridMultilevel"/>
    <w:tmpl w:val="CC9A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A0644"/>
    <w:multiLevelType w:val="hybridMultilevel"/>
    <w:tmpl w:val="041A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94AE3"/>
    <w:multiLevelType w:val="hybridMultilevel"/>
    <w:tmpl w:val="F4C84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D771A"/>
    <w:multiLevelType w:val="hybridMultilevel"/>
    <w:tmpl w:val="DC7C19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D367BC"/>
    <w:multiLevelType w:val="hybridMultilevel"/>
    <w:tmpl w:val="ED5C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12"/>
  </w:num>
  <w:num w:numId="12">
    <w:abstractNumId w:val="4"/>
  </w:num>
  <w:num w:numId="13">
    <w:abstractNumId w:val="8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C0"/>
    <w:rsid w:val="00001D71"/>
    <w:rsid w:val="00004484"/>
    <w:rsid w:val="000051E1"/>
    <w:rsid w:val="00007E4A"/>
    <w:rsid w:val="0002200F"/>
    <w:rsid w:val="00026FD2"/>
    <w:rsid w:val="00030C8F"/>
    <w:rsid w:val="00034348"/>
    <w:rsid w:val="00057EC3"/>
    <w:rsid w:val="0007251E"/>
    <w:rsid w:val="00076570"/>
    <w:rsid w:val="00081D96"/>
    <w:rsid w:val="000855A6"/>
    <w:rsid w:val="000A2EF6"/>
    <w:rsid w:val="000A469E"/>
    <w:rsid w:val="000B2012"/>
    <w:rsid w:val="000B77E7"/>
    <w:rsid w:val="000C6885"/>
    <w:rsid w:val="000C795F"/>
    <w:rsid w:val="000E1156"/>
    <w:rsid w:val="000F6258"/>
    <w:rsid w:val="000F711F"/>
    <w:rsid w:val="00107559"/>
    <w:rsid w:val="0011675E"/>
    <w:rsid w:val="001322FB"/>
    <w:rsid w:val="00134B09"/>
    <w:rsid w:val="00142C1E"/>
    <w:rsid w:val="0014791C"/>
    <w:rsid w:val="0015348F"/>
    <w:rsid w:val="001558A3"/>
    <w:rsid w:val="00155EDE"/>
    <w:rsid w:val="001639F6"/>
    <w:rsid w:val="00163E6B"/>
    <w:rsid w:val="00166417"/>
    <w:rsid w:val="00173804"/>
    <w:rsid w:val="00177528"/>
    <w:rsid w:val="00180D5C"/>
    <w:rsid w:val="001822B8"/>
    <w:rsid w:val="001839C0"/>
    <w:rsid w:val="00196D88"/>
    <w:rsid w:val="001974F5"/>
    <w:rsid w:val="001A744B"/>
    <w:rsid w:val="001B1EA6"/>
    <w:rsid w:val="001C0C9D"/>
    <w:rsid w:val="001C4B02"/>
    <w:rsid w:val="001C64DC"/>
    <w:rsid w:val="001D0B61"/>
    <w:rsid w:val="001D311A"/>
    <w:rsid w:val="001D730A"/>
    <w:rsid w:val="001F034E"/>
    <w:rsid w:val="001F0E02"/>
    <w:rsid w:val="001F17C6"/>
    <w:rsid w:val="001F30AA"/>
    <w:rsid w:val="001F4EF1"/>
    <w:rsid w:val="00203668"/>
    <w:rsid w:val="00203A5C"/>
    <w:rsid w:val="00210D6C"/>
    <w:rsid w:val="002117F2"/>
    <w:rsid w:val="00211F92"/>
    <w:rsid w:val="0022605F"/>
    <w:rsid w:val="00226217"/>
    <w:rsid w:val="0022631E"/>
    <w:rsid w:val="002322F2"/>
    <w:rsid w:val="00244624"/>
    <w:rsid w:val="002460CB"/>
    <w:rsid w:val="00247325"/>
    <w:rsid w:val="00250433"/>
    <w:rsid w:val="002510EA"/>
    <w:rsid w:val="00252E52"/>
    <w:rsid w:val="002534C0"/>
    <w:rsid w:val="002536D5"/>
    <w:rsid w:val="0025571C"/>
    <w:rsid w:val="00261EFE"/>
    <w:rsid w:val="00264FD4"/>
    <w:rsid w:val="00266FC4"/>
    <w:rsid w:val="0027031B"/>
    <w:rsid w:val="00282032"/>
    <w:rsid w:val="002B2637"/>
    <w:rsid w:val="002B2DF5"/>
    <w:rsid w:val="002C6C99"/>
    <w:rsid w:val="002D2D67"/>
    <w:rsid w:val="002D6F13"/>
    <w:rsid w:val="002F1AFC"/>
    <w:rsid w:val="002F4008"/>
    <w:rsid w:val="0030459D"/>
    <w:rsid w:val="0031249B"/>
    <w:rsid w:val="00317441"/>
    <w:rsid w:val="00320D76"/>
    <w:rsid w:val="0032278C"/>
    <w:rsid w:val="00331BAF"/>
    <w:rsid w:val="00340794"/>
    <w:rsid w:val="00341E02"/>
    <w:rsid w:val="00343CB9"/>
    <w:rsid w:val="003551BF"/>
    <w:rsid w:val="0035672D"/>
    <w:rsid w:val="00364E7F"/>
    <w:rsid w:val="003724CE"/>
    <w:rsid w:val="00373F71"/>
    <w:rsid w:val="003763A0"/>
    <w:rsid w:val="0039050C"/>
    <w:rsid w:val="003A3549"/>
    <w:rsid w:val="003B29BC"/>
    <w:rsid w:val="003B44EC"/>
    <w:rsid w:val="003B52F2"/>
    <w:rsid w:val="003B5EEB"/>
    <w:rsid w:val="003C2E35"/>
    <w:rsid w:val="003D189F"/>
    <w:rsid w:val="003E09FF"/>
    <w:rsid w:val="003E5F27"/>
    <w:rsid w:val="003F7DEE"/>
    <w:rsid w:val="00406509"/>
    <w:rsid w:val="00411A0E"/>
    <w:rsid w:val="004133DF"/>
    <w:rsid w:val="0043084C"/>
    <w:rsid w:val="0044031F"/>
    <w:rsid w:val="00446BD6"/>
    <w:rsid w:val="004522CA"/>
    <w:rsid w:val="004523EC"/>
    <w:rsid w:val="00455B43"/>
    <w:rsid w:val="0046201D"/>
    <w:rsid w:val="004730C2"/>
    <w:rsid w:val="0047516A"/>
    <w:rsid w:val="004830FA"/>
    <w:rsid w:val="00486C28"/>
    <w:rsid w:val="00487439"/>
    <w:rsid w:val="004B57DD"/>
    <w:rsid w:val="004B71BB"/>
    <w:rsid w:val="004D1B4F"/>
    <w:rsid w:val="004D323B"/>
    <w:rsid w:val="004D7F09"/>
    <w:rsid w:val="004E6B6A"/>
    <w:rsid w:val="004F0918"/>
    <w:rsid w:val="004F10F8"/>
    <w:rsid w:val="004F3BF3"/>
    <w:rsid w:val="0050322A"/>
    <w:rsid w:val="00507868"/>
    <w:rsid w:val="00514591"/>
    <w:rsid w:val="00520BDD"/>
    <w:rsid w:val="0052691A"/>
    <w:rsid w:val="005342C0"/>
    <w:rsid w:val="005452E2"/>
    <w:rsid w:val="00554726"/>
    <w:rsid w:val="00555053"/>
    <w:rsid w:val="005556A7"/>
    <w:rsid w:val="005654FE"/>
    <w:rsid w:val="00581690"/>
    <w:rsid w:val="00594D2E"/>
    <w:rsid w:val="00594DC0"/>
    <w:rsid w:val="005B16E5"/>
    <w:rsid w:val="005B5B25"/>
    <w:rsid w:val="005C431A"/>
    <w:rsid w:val="005C78C1"/>
    <w:rsid w:val="005D0CD0"/>
    <w:rsid w:val="005D6820"/>
    <w:rsid w:val="005D7EA7"/>
    <w:rsid w:val="005E3E00"/>
    <w:rsid w:val="005E72BD"/>
    <w:rsid w:val="00602F2F"/>
    <w:rsid w:val="00605220"/>
    <w:rsid w:val="00615FD5"/>
    <w:rsid w:val="0062771A"/>
    <w:rsid w:val="00631A10"/>
    <w:rsid w:val="00633D47"/>
    <w:rsid w:val="006446E6"/>
    <w:rsid w:val="006451C8"/>
    <w:rsid w:val="00646CBD"/>
    <w:rsid w:val="006504D2"/>
    <w:rsid w:val="00650A21"/>
    <w:rsid w:val="00675357"/>
    <w:rsid w:val="00676B92"/>
    <w:rsid w:val="006814DC"/>
    <w:rsid w:val="00682E23"/>
    <w:rsid w:val="0068701A"/>
    <w:rsid w:val="00690C42"/>
    <w:rsid w:val="0069788C"/>
    <w:rsid w:val="006A558E"/>
    <w:rsid w:val="006A764B"/>
    <w:rsid w:val="006A7A2D"/>
    <w:rsid w:val="006B2E02"/>
    <w:rsid w:val="006C6064"/>
    <w:rsid w:val="006C77FF"/>
    <w:rsid w:val="006C7E1E"/>
    <w:rsid w:val="006D4E1B"/>
    <w:rsid w:val="006E689E"/>
    <w:rsid w:val="006F5BF7"/>
    <w:rsid w:val="00700309"/>
    <w:rsid w:val="00701CB3"/>
    <w:rsid w:val="00715DA6"/>
    <w:rsid w:val="00726AE3"/>
    <w:rsid w:val="00751F5D"/>
    <w:rsid w:val="00755A86"/>
    <w:rsid w:val="00757321"/>
    <w:rsid w:val="0076175A"/>
    <w:rsid w:val="00764FA8"/>
    <w:rsid w:val="007655A5"/>
    <w:rsid w:val="0076605C"/>
    <w:rsid w:val="007707DA"/>
    <w:rsid w:val="00772C9C"/>
    <w:rsid w:val="00781EFA"/>
    <w:rsid w:val="00782D7B"/>
    <w:rsid w:val="00783107"/>
    <w:rsid w:val="007935CE"/>
    <w:rsid w:val="00793CA4"/>
    <w:rsid w:val="0079455F"/>
    <w:rsid w:val="00795162"/>
    <w:rsid w:val="00795EE3"/>
    <w:rsid w:val="007A55F0"/>
    <w:rsid w:val="007B312E"/>
    <w:rsid w:val="007C581B"/>
    <w:rsid w:val="007C6F8A"/>
    <w:rsid w:val="007E511F"/>
    <w:rsid w:val="007E749C"/>
    <w:rsid w:val="007F2E07"/>
    <w:rsid w:val="00802536"/>
    <w:rsid w:val="00837836"/>
    <w:rsid w:val="00840633"/>
    <w:rsid w:val="008747D4"/>
    <w:rsid w:val="00874D10"/>
    <w:rsid w:val="00883982"/>
    <w:rsid w:val="0088756A"/>
    <w:rsid w:val="00887B67"/>
    <w:rsid w:val="008936B2"/>
    <w:rsid w:val="008A019A"/>
    <w:rsid w:val="008B249D"/>
    <w:rsid w:val="008B4635"/>
    <w:rsid w:val="008B6C89"/>
    <w:rsid w:val="008C3DC2"/>
    <w:rsid w:val="008D4351"/>
    <w:rsid w:val="008F1274"/>
    <w:rsid w:val="008F185B"/>
    <w:rsid w:val="00900B11"/>
    <w:rsid w:val="00901ACA"/>
    <w:rsid w:val="00902041"/>
    <w:rsid w:val="009164E3"/>
    <w:rsid w:val="00920EB0"/>
    <w:rsid w:val="009263A2"/>
    <w:rsid w:val="0093136E"/>
    <w:rsid w:val="00931988"/>
    <w:rsid w:val="00932CA0"/>
    <w:rsid w:val="009448F6"/>
    <w:rsid w:val="009452B0"/>
    <w:rsid w:val="00961F24"/>
    <w:rsid w:val="009804DA"/>
    <w:rsid w:val="00996AC8"/>
    <w:rsid w:val="009A7759"/>
    <w:rsid w:val="009B010A"/>
    <w:rsid w:val="009B276E"/>
    <w:rsid w:val="009C58B5"/>
    <w:rsid w:val="009D661F"/>
    <w:rsid w:val="009F20F3"/>
    <w:rsid w:val="009F3B51"/>
    <w:rsid w:val="00A22280"/>
    <w:rsid w:val="00A24DAD"/>
    <w:rsid w:val="00A31EEC"/>
    <w:rsid w:val="00A34B0F"/>
    <w:rsid w:val="00A358EE"/>
    <w:rsid w:val="00A36B7A"/>
    <w:rsid w:val="00A37D9B"/>
    <w:rsid w:val="00A407B3"/>
    <w:rsid w:val="00A42E24"/>
    <w:rsid w:val="00A43137"/>
    <w:rsid w:val="00A463A3"/>
    <w:rsid w:val="00A61BAC"/>
    <w:rsid w:val="00A812BA"/>
    <w:rsid w:val="00A83050"/>
    <w:rsid w:val="00A83275"/>
    <w:rsid w:val="00A846F2"/>
    <w:rsid w:val="00A84950"/>
    <w:rsid w:val="00A84E84"/>
    <w:rsid w:val="00A8703E"/>
    <w:rsid w:val="00A87568"/>
    <w:rsid w:val="00A92768"/>
    <w:rsid w:val="00A95E5F"/>
    <w:rsid w:val="00A96164"/>
    <w:rsid w:val="00AA32FA"/>
    <w:rsid w:val="00AA4947"/>
    <w:rsid w:val="00AB4D22"/>
    <w:rsid w:val="00AB56CB"/>
    <w:rsid w:val="00AC108F"/>
    <w:rsid w:val="00AC1B01"/>
    <w:rsid w:val="00AC24F1"/>
    <w:rsid w:val="00AC2C46"/>
    <w:rsid w:val="00AF0D3B"/>
    <w:rsid w:val="00AF2C45"/>
    <w:rsid w:val="00B03976"/>
    <w:rsid w:val="00B11F9F"/>
    <w:rsid w:val="00B2140C"/>
    <w:rsid w:val="00B215C3"/>
    <w:rsid w:val="00B30EAA"/>
    <w:rsid w:val="00B36831"/>
    <w:rsid w:val="00B371A1"/>
    <w:rsid w:val="00B45B9C"/>
    <w:rsid w:val="00B46AA4"/>
    <w:rsid w:val="00B54D51"/>
    <w:rsid w:val="00B5568C"/>
    <w:rsid w:val="00B57D50"/>
    <w:rsid w:val="00B83950"/>
    <w:rsid w:val="00B9344C"/>
    <w:rsid w:val="00BA4777"/>
    <w:rsid w:val="00BB4BAB"/>
    <w:rsid w:val="00BD4786"/>
    <w:rsid w:val="00BD4ADC"/>
    <w:rsid w:val="00BE2DF9"/>
    <w:rsid w:val="00BE7E7F"/>
    <w:rsid w:val="00BF0BC2"/>
    <w:rsid w:val="00BF1A84"/>
    <w:rsid w:val="00C24BB7"/>
    <w:rsid w:val="00C24C80"/>
    <w:rsid w:val="00C264E3"/>
    <w:rsid w:val="00C30113"/>
    <w:rsid w:val="00C323CE"/>
    <w:rsid w:val="00C36224"/>
    <w:rsid w:val="00C4073D"/>
    <w:rsid w:val="00C41EF7"/>
    <w:rsid w:val="00C4292A"/>
    <w:rsid w:val="00C54A8B"/>
    <w:rsid w:val="00C6451D"/>
    <w:rsid w:val="00C72226"/>
    <w:rsid w:val="00C80401"/>
    <w:rsid w:val="00C846D0"/>
    <w:rsid w:val="00C84730"/>
    <w:rsid w:val="00C912D1"/>
    <w:rsid w:val="00C95CC0"/>
    <w:rsid w:val="00C97519"/>
    <w:rsid w:val="00CA5B33"/>
    <w:rsid w:val="00CB3CB4"/>
    <w:rsid w:val="00CB47E9"/>
    <w:rsid w:val="00CB5BCA"/>
    <w:rsid w:val="00CC0A1E"/>
    <w:rsid w:val="00CC5DFA"/>
    <w:rsid w:val="00CE08D1"/>
    <w:rsid w:val="00CE5112"/>
    <w:rsid w:val="00CE70FE"/>
    <w:rsid w:val="00D00268"/>
    <w:rsid w:val="00D003D5"/>
    <w:rsid w:val="00D03F16"/>
    <w:rsid w:val="00D128FB"/>
    <w:rsid w:val="00D12C56"/>
    <w:rsid w:val="00D2106B"/>
    <w:rsid w:val="00D24766"/>
    <w:rsid w:val="00D35ACB"/>
    <w:rsid w:val="00D416E1"/>
    <w:rsid w:val="00D47FC3"/>
    <w:rsid w:val="00D51EBA"/>
    <w:rsid w:val="00D61AE5"/>
    <w:rsid w:val="00D8012D"/>
    <w:rsid w:val="00D826C8"/>
    <w:rsid w:val="00D8510C"/>
    <w:rsid w:val="00D91655"/>
    <w:rsid w:val="00DA592B"/>
    <w:rsid w:val="00DB023E"/>
    <w:rsid w:val="00DB2B2B"/>
    <w:rsid w:val="00DC54B8"/>
    <w:rsid w:val="00DE2088"/>
    <w:rsid w:val="00DE5446"/>
    <w:rsid w:val="00DE79EB"/>
    <w:rsid w:val="00DF5DCE"/>
    <w:rsid w:val="00DF7CE0"/>
    <w:rsid w:val="00E22611"/>
    <w:rsid w:val="00E249CB"/>
    <w:rsid w:val="00E24BBB"/>
    <w:rsid w:val="00E255F2"/>
    <w:rsid w:val="00E27712"/>
    <w:rsid w:val="00E43A5D"/>
    <w:rsid w:val="00E4662E"/>
    <w:rsid w:val="00E47544"/>
    <w:rsid w:val="00E63745"/>
    <w:rsid w:val="00E67844"/>
    <w:rsid w:val="00E7113C"/>
    <w:rsid w:val="00E929B8"/>
    <w:rsid w:val="00EA0604"/>
    <w:rsid w:val="00EB3800"/>
    <w:rsid w:val="00EB3B9F"/>
    <w:rsid w:val="00EB44CD"/>
    <w:rsid w:val="00EB6A79"/>
    <w:rsid w:val="00EC0548"/>
    <w:rsid w:val="00EC74C8"/>
    <w:rsid w:val="00ED6763"/>
    <w:rsid w:val="00EE36F6"/>
    <w:rsid w:val="00EF2EDF"/>
    <w:rsid w:val="00F074A9"/>
    <w:rsid w:val="00F33624"/>
    <w:rsid w:val="00F4065D"/>
    <w:rsid w:val="00F43E16"/>
    <w:rsid w:val="00F55B53"/>
    <w:rsid w:val="00F5636D"/>
    <w:rsid w:val="00F669E9"/>
    <w:rsid w:val="00F726D4"/>
    <w:rsid w:val="00F815F2"/>
    <w:rsid w:val="00F87227"/>
    <w:rsid w:val="00F8725B"/>
    <w:rsid w:val="00F95923"/>
    <w:rsid w:val="00FA0668"/>
    <w:rsid w:val="00FA2BBE"/>
    <w:rsid w:val="00FA7D62"/>
    <w:rsid w:val="00FB0598"/>
    <w:rsid w:val="00FB7B42"/>
    <w:rsid w:val="00FC3F07"/>
    <w:rsid w:val="00FC6397"/>
    <w:rsid w:val="00FD0D92"/>
    <w:rsid w:val="00FD2BA8"/>
    <w:rsid w:val="00FE2F27"/>
    <w:rsid w:val="00FE5038"/>
    <w:rsid w:val="00FF3CE5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24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24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EBT Working Group Meeting</vt:lpstr>
    </vt:vector>
  </TitlesOfParts>
  <Company>nationalgrid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EBT Working Group Meeting</dc:title>
  <dc:creator>Juliana Griffiths</dc:creator>
  <cp:lastModifiedBy>Iberdrola S.A.</cp:lastModifiedBy>
  <cp:revision>3</cp:revision>
  <cp:lastPrinted>2015-09-15T13:53:00Z</cp:lastPrinted>
  <dcterms:created xsi:type="dcterms:W3CDTF">2017-11-17T14:54:00Z</dcterms:created>
  <dcterms:modified xsi:type="dcterms:W3CDTF">2017-11-17T14:54:00Z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