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44D0" w14:textId="77777777"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Central Maine Power Company (CMP)</w:t>
      </w:r>
    </w:p>
    <w:p w14:paraId="07879537" w14:textId="6710D4BB"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202</w:t>
      </w:r>
      <w:r w:rsidR="00D01CD0">
        <w:rPr>
          <w:rFonts w:cstheme="minorHAnsi"/>
          <w:b/>
          <w:sz w:val="24"/>
          <w:szCs w:val="24"/>
        </w:rPr>
        <w:t>3</w:t>
      </w:r>
      <w:r w:rsidRPr="00733090">
        <w:rPr>
          <w:rFonts w:cstheme="minorHAnsi"/>
          <w:b/>
          <w:sz w:val="24"/>
          <w:szCs w:val="24"/>
        </w:rPr>
        <w:t xml:space="preserve"> ISO New England Inc. Transmission, Markets and Services Tariff</w:t>
      </w:r>
    </w:p>
    <w:p w14:paraId="3B45608E" w14:textId="32233A6C"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 xml:space="preserve">Docket No. </w:t>
      </w:r>
      <w:r w:rsidR="00E85FBC">
        <w:rPr>
          <w:b/>
          <w:bCs/>
        </w:rPr>
        <w:t>ER20-2054</w:t>
      </w:r>
    </w:p>
    <w:p w14:paraId="6F9600D3" w14:textId="77777777"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Maine Public Utilities Commission (MPUC)</w:t>
      </w:r>
    </w:p>
    <w:p w14:paraId="68AA854D" w14:textId="77777777" w:rsidR="003D6C6D" w:rsidRPr="00C5703B" w:rsidRDefault="00733090" w:rsidP="00733090">
      <w:pPr>
        <w:spacing w:after="0" w:line="240" w:lineRule="auto"/>
        <w:jc w:val="center"/>
        <w:rPr>
          <w:rFonts w:cstheme="minorHAnsi"/>
          <w:b/>
          <w:sz w:val="24"/>
          <w:szCs w:val="24"/>
        </w:rPr>
      </w:pPr>
      <w:r w:rsidRPr="00733090">
        <w:rPr>
          <w:rFonts w:cstheme="minorHAnsi"/>
          <w:b/>
          <w:sz w:val="24"/>
          <w:szCs w:val="24"/>
        </w:rPr>
        <w:t>Data/Information Request No. 1</w:t>
      </w:r>
    </w:p>
    <w:p w14:paraId="70C8D57A" w14:textId="77777777" w:rsidR="00733090" w:rsidRDefault="00733090" w:rsidP="00C5703B">
      <w:pPr>
        <w:spacing w:after="0" w:line="240" w:lineRule="auto"/>
        <w:jc w:val="right"/>
        <w:rPr>
          <w:rFonts w:cstheme="minorHAnsi"/>
          <w:b/>
          <w:sz w:val="24"/>
          <w:szCs w:val="24"/>
        </w:rPr>
      </w:pPr>
    </w:p>
    <w:p w14:paraId="63B2A8D9" w14:textId="562C6095" w:rsidR="003D6C6D" w:rsidRPr="00C5703B" w:rsidRDefault="00D01CD0" w:rsidP="00C5703B">
      <w:pPr>
        <w:spacing w:after="0" w:line="240" w:lineRule="auto"/>
        <w:jc w:val="right"/>
        <w:rPr>
          <w:rFonts w:cstheme="minorHAnsi"/>
          <w:b/>
          <w:sz w:val="24"/>
          <w:szCs w:val="24"/>
        </w:rPr>
      </w:pPr>
      <w:r>
        <w:rPr>
          <w:rFonts w:cstheme="minorHAnsi"/>
          <w:b/>
          <w:sz w:val="24"/>
          <w:szCs w:val="24"/>
        </w:rPr>
        <w:t xml:space="preserve">July </w:t>
      </w:r>
      <w:r w:rsidR="00985600">
        <w:rPr>
          <w:rFonts w:cstheme="minorHAnsi"/>
          <w:b/>
          <w:sz w:val="24"/>
          <w:szCs w:val="24"/>
        </w:rPr>
        <w:t>26</w:t>
      </w:r>
      <w:r>
        <w:rPr>
          <w:rFonts w:cstheme="minorHAnsi"/>
          <w:b/>
          <w:sz w:val="24"/>
          <w:szCs w:val="24"/>
        </w:rPr>
        <w:t>,</w:t>
      </w:r>
      <w:r w:rsidR="00985600">
        <w:rPr>
          <w:rFonts w:cstheme="minorHAnsi"/>
          <w:b/>
          <w:sz w:val="24"/>
          <w:szCs w:val="24"/>
        </w:rPr>
        <w:t xml:space="preserve"> </w:t>
      </w:r>
      <w:r w:rsidR="00733090">
        <w:rPr>
          <w:rFonts w:cstheme="minorHAnsi"/>
          <w:b/>
          <w:sz w:val="24"/>
          <w:szCs w:val="24"/>
        </w:rPr>
        <w:t>202</w:t>
      </w:r>
      <w:r>
        <w:rPr>
          <w:rFonts w:cstheme="minorHAnsi"/>
          <w:b/>
          <w:sz w:val="24"/>
          <w:szCs w:val="24"/>
        </w:rPr>
        <w:t>3</w:t>
      </w:r>
    </w:p>
    <w:p w14:paraId="58046CAA" w14:textId="77777777" w:rsidR="003D6C6D" w:rsidRPr="00C5703B" w:rsidRDefault="003D6C6D" w:rsidP="00442162">
      <w:pPr>
        <w:spacing w:after="0" w:line="240" w:lineRule="auto"/>
        <w:rPr>
          <w:rFonts w:cstheme="minorHAnsi"/>
          <w:b/>
          <w:sz w:val="24"/>
          <w:szCs w:val="24"/>
        </w:rPr>
      </w:pPr>
    </w:p>
    <w:p w14:paraId="3CC99BD0" w14:textId="77777777" w:rsidR="00442162" w:rsidRPr="00C5703B" w:rsidRDefault="00442162" w:rsidP="00C5703B">
      <w:pPr>
        <w:spacing w:after="0" w:line="240" w:lineRule="auto"/>
        <w:jc w:val="right"/>
        <w:rPr>
          <w:rFonts w:cstheme="minorHAnsi"/>
          <w:b/>
          <w:sz w:val="24"/>
          <w:szCs w:val="24"/>
        </w:rPr>
      </w:pPr>
    </w:p>
    <w:p w14:paraId="1D6B3D2D" w14:textId="4FCDB60E" w:rsidR="003D6C6D" w:rsidRPr="00C5703B" w:rsidRDefault="007C2B34" w:rsidP="00C5703B">
      <w:pPr>
        <w:spacing w:after="0" w:line="240" w:lineRule="auto"/>
        <w:rPr>
          <w:rFonts w:cstheme="minorHAnsi"/>
          <w:b/>
          <w:sz w:val="24"/>
          <w:szCs w:val="24"/>
        </w:rPr>
      </w:pPr>
      <w:r>
        <w:rPr>
          <w:rFonts w:cstheme="minorHAnsi"/>
          <w:b/>
          <w:sz w:val="24"/>
          <w:szCs w:val="24"/>
        </w:rPr>
        <w:t>MPUC-CMP-1-</w:t>
      </w:r>
      <w:r w:rsidR="00D36856">
        <w:rPr>
          <w:rFonts w:cstheme="minorHAnsi"/>
          <w:b/>
          <w:sz w:val="24"/>
          <w:szCs w:val="24"/>
        </w:rPr>
        <w:t>9</w:t>
      </w:r>
    </w:p>
    <w:p w14:paraId="3616AD2F" w14:textId="77777777" w:rsidR="003D6C6D" w:rsidRPr="00C5703B" w:rsidRDefault="003D6C6D" w:rsidP="00C5703B">
      <w:pPr>
        <w:spacing w:after="0" w:line="240" w:lineRule="auto"/>
        <w:rPr>
          <w:rFonts w:cstheme="minorHAnsi"/>
          <w:b/>
          <w:sz w:val="24"/>
          <w:szCs w:val="24"/>
        </w:rPr>
      </w:pPr>
    </w:p>
    <w:p w14:paraId="1EFEA2A4" w14:textId="6A0283FB" w:rsidR="00860309" w:rsidRDefault="003D6C6D" w:rsidP="00442162">
      <w:pPr>
        <w:spacing w:after="0" w:line="240" w:lineRule="auto"/>
        <w:ind w:left="720" w:hanging="720"/>
        <w:rPr>
          <w:rFonts w:cstheme="minorHAnsi"/>
          <w:sz w:val="24"/>
          <w:szCs w:val="24"/>
        </w:rPr>
      </w:pPr>
      <w:r w:rsidRPr="00C5703B">
        <w:rPr>
          <w:rFonts w:cstheme="minorHAnsi"/>
          <w:b/>
          <w:sz w:val="24"/>
          <w:szCs w:val="24"/>
        </w:rPr>
        <w:t>Q:</w:t>
      </w:r>
      <w:r w:rsidR="0043457F">
        <w:rPr>
          <w:rFonts w:cstheme="minorHAnsi"/>
          <w:b/>
          <w:sz w:val="24"/>
          <w:szCs w:val="24"/>
        </w:rPr>
        <w:tab/>
      </w:r>
      <w:r w:rsidR="00D36856" w:rsidRPr="00D36856">
        <w:rPr>
          <w:rFonts w:cstheme="minorHAnsi"/>
          <w:sz w:val="24"/>
          <w:szCs w:val="24"/>
        </w:rPr>
        <w:t>Please provide a list of all accounting policy and process changes from 2021 through 2022 that impact accounting information used in the development of the wholesale transmission formula rate.  For each accounting change, please provide a description of the change and the FERC accounts affected.</w:t>
      </w:r>
    </w:p>
    <w:p w14:paraId="29B23AC2" w14:textId="77777777" w:rsidR="00860309" w:rsidRDefault="00860309" w:rsidP="00442162">
      <w:pPr>
        <w:spacing w:after="0" w:line="240" w:lineRule="auto"/>
        <w:ind w:left="720" w:hanging="720"/>
        <w:rPr>
          <w:rFonts w:cstheme="minorHAnsi"/>
          <w:b/>
          <w:sz w:val="24"/>
          <w:szCs w:val="24"/>
        </w:rPr>
      </w:pPr>
    </w:p>
    <w:p w14:paraId="18D52448" w14:textId="77777777" w:rsidR="00985600" w:rsidRPr="00985600" w:rsidRDefault="003D6C6D" w:rsidP="00985600">
      <w:pPr>
        <w:spacing w:after="0" w:line="240" w:lineRule="auto"/>
        <w:ind w:left="720" w:hanging="720"/>
        <w:rPr>
          <w:rFonts w:cstheme="minorHAnsi"/>
          <w:bCs/>
          <w:sz w:val="24"/>
          <w:szCs w:val="24"/>
        </w:rPr>
      </w:pPr>
      <w:r w:rsidRPr="00C5703B">
        <w:rPr>
          <w:rFonts w:cstheme="minorHAnsi"/>
          <w:b/>
          <w:sz w:val="24"/>
          <w:szCs w:val="24"/>
        </w:rPr>
        <w:t>A:</w:t>
      </w:r>
      <w:r w:rsidRPr="00C5703B">
        <w:rPr>
          <w:rFonts w:cstheme="minorHAnsi"/>
          <w:b/>
          <w:sz w:val="24"/>
          <w:szCs w:val="24"/>
        </w:rPr>
        <w:tab/>
      </w:r>
      <w:r w:rsidR="00985600" w:rsidRPr="00985600">
        <w:rPr>
          <w:rFonts w:cstheme="minorHAnsi"/>
          <w:bCs/>
          <w:sz w:val="24"/>
          <w:szCs w:val="24"/>
        </w:rPr>
        <w:t>CMP has considered this question and has not identified any accounting policy or process changes in the time indicated that affect the areas indicated.   This evaluation included the following:</w:t>
      </w:r>
    </w:p>
    <w:p w14:paraId="43DD9707" w14:textId="2A76C029" w:rsidR="00985600" w:rsidRPr="00985600" w:rsidRDefault="00985600" w:rsidP="00985600">
      <w:pPr>
        <w:spacing w:after="0" w:line="240" w:lineRule="auto"/>
        <w:ind w:left="720"/>
        <w:rPr>
          <w:rFonts w:cstheme="minorHAnsi"/>
          <w:bCs/>
          <w:sz w:val="24"/>
          <w:szCs w:val="24"/>
        </w:rPr>
      </w:pPr>
      <w:r w:rsidRPr="00985600">
        <w:rPr>
          <w:rFonts w:cstheme="minorHAnsi"/>
          <w:bCs/>
          <w:sz w:val="24"/>
          <w:szCs w:val="24"/>
        </w:rPr>
        <w:t>1.</w:t>
      </w:r>
      <w:r w:rsidRPr="00985600">
        <w:rPr>
          <w:rFonts w:cstheme="minorHAnsi"/>
          <w:bCs/>
          <w:sz w:val="24"/>
          <w:szCs w:val="24"/>
        </w:rPr>
        <w:tab/>
        <w:t>A consideration of external changes in authoritative guidance in US GAAP.  Avangrid and its subsidiaries undertake a quarterly control that evaluates external changes in US GAAP (and IFRS) that is circulated to approximately 25 management level employees around Avangrid (including CMP) for evaluation in this area.  During this period, most changes were related to disclosures and were not impactful changes to accounting that would impact ratemaking.</w:t>
      </w:r>
    </w:p>
    <w:p w14:paraId="26F7BC37" w14:textId="11128B66" w:rsidR="00985600" w:rsidRPr="00985600" w:rsidRDefault="00985600" w:rsidP="00985600">
      <w:pPr>
        <w:spacing w:after="0" w:line="240" w:lineRule="auto"/>
        <w:ind w:left="720"/>
        <w:rPr>
          <w:rFonts w:cstheme="minorHAnsi"/>
          <w:bCs/>
          <w:sz w:val="24"/>
          <w:szCs w:val="24"/>
        </w:rPr>
      </w:pPr>
      <w:r w:rsidRPr="00985600">
        <w:rPr>
          <w:rFonts w:cstheme="minorHAnsi"/>
          <w:bCs/>
          <w:sz w:val="24"/>
          <w:szCs w:val="24"/>
        </w:rPr>
        <w:t>2.</w:t>
      </w:r>
      <w:r w:rsidRPr="00985600">
        <w:rPr>
          <w:rFonts w:cstheme="minorHAnsi"/>
          <w:bCs/>
          <w:sz w:val="24"/>
          <w:szCs w:val="24"/>
        </w:rPr>
        <w:tab/>
        <w:t>An evaluation of the preparation process around Avangrid’s Accounting Policy Reference Manual (APRM)</w:t>
      </w:r>
      <w:r w:rsidR="000116D8">
        <w:rPr>
          <w:rFonts w:cstheme="minorHAnsi"/>
          <w:bCs/>
          <w:sz w:val="24"/>
          <w:szCs w:val="24"/>
        </w:rPr>
        <w:t>;</w:t>
      </w:r>
      <w:r w:rsidRPr="00985600">
        <w:rPr>
          <w:rFonts w:cstheme="minorHAnsi"/>
          <w:bCs/>
          <w:sz w:val="24"/>
          <w:szCs w:val="24"/>
        </w:rPr>
        <w:t xml:space="preserve"> this is an annual updating/republishing of Avangrid’s internal accounting policies and documentation of any judgments or policy selections elected by the Companies.  Some of the elections can be specific to a particular utility subsidiary if there is a specific regulatory order on an accounting policy.  The APRM is circulated broadly within Avangrid (and CMP) for comment, and no changes were identified during the time indicated that affect the areas indicated. </w:t>
      </w:r>
    </w:p>
    <w:p w14:paraId="08FC4733" w14:textId="77777777" w:rsidR="00985600" w:rsidRPr="00985600" w:rsidRDefault="00985600" w:rsidP="00985600">
      <w:pPr>
        <w:spacing w:after="0" w:line="240" w:lineRule="auto"/>
        <w:ind w:left="720"/>
        <w:rPr>
          <w:rFonts w:cstheme="minorHAnsi"/>
          <w:bCs/>
          <w:sz w:val="24"/>
          <w:szCs w:val="24"/>
        </w:rPr>
      </w:pPr>
      <w:r w:rsidRPr="00985600">
        <w:rPr>
          <w:rFonts w:cstheme="minorHAnsi"/>
          <w:bCs/>
          <w:sz w:val="24"/>
          <w:szCs w:val="24"/>
        </w:rPr>
        <w:t>3.</w:t>
      </w:r>
      <w:r w:rsidRPr="00985600">
        <w:rPr>
          <w:rFonts w:cstheme="minorHAnsi"/>
          <w:bCs/>
          <w:sz w:val="24"/>
          <w:szCs w:val="24"/>
        </w:rPr>
        <w:tab/>
        <w:t>An evaluation of FERC accounting guidance that changed in the time indicated.   Nothing impactful to CMP results was identified during the time indicated.</w:t>
      </w:r>
    </w:p>
    <w:p w14:paraId="3584DB66" w14:textId="5144325D" w:rsidR="003D6C6D" w:rsidRPr="00C5703B" w:rsidRDefault="003D6C6D" w:rsidP="00442162">
      <w:pPr>
        <w:spacing w:after="0" w:line="240" w:lineRule="auto"/>
        <w:ind w:left="720" w:hanging="720"/>
        <w:rPr>
          <w:sz w:val="24"/>
          <w:szCs w:val="24"/>
        </w:rPr>
      </w:pPr>
    </w:p>
    <w:p w14:paraId="44E1B75D" w14:textId="77777777" w:rsidR="003D6C6D" w:rsidRPr="00C5703B" w:rsidRDefault="003D6C6D" w:rsidP="00C5703B">
      <w:pPr>
        <w:spacing w:after="0" w:line="240" w:lineRule="auto"/>
        <w:rPr>
          <w:rFonts w:cstheme="minorHAnsi"/>
          <w:b/>
          <w:sz w:val="24"/>
          <w:szCs w:val="24"/>
        </w:rPr>
      </w:pPr>
    </w:p>
    <w:p w14:paraId="304E7CB2" w14:textId="77777777" w:rsidR="003D6C6D" w:rsidRPr="00C5703B" w:rsidRDefault="003D6C6D" w:rsidP="00C5703B">
      <w:pPr>
        <w:spacing w:after="0" w:line="240" w:lineRule="auto"/>
        <w:rPr>
          <w:rFonts w:cstheme="minorHAnsi"/>
          <w:b/>
          <w:sz w:val="24"/>
          <w:szCs w:val="24"/>
        </w:rPr>
      </w:pPr>
    </w:p>
    <w:p w14:paraId="4E127BE0" w14:textId="5A1931EC" w:rsidR="003D6C6D" w:rsidRPr="00985600" w:rsidRDefault="003D6C6D" w:rsidP="00C5703B">
      <w:pPr>
        <w:spacing w:after="0" w:line="240" w:lineRule="auto"/>
        <w:rPr>
          <w:rFonts w:cstheme="minorHAnsi"/>
          <w:bCs/>
          <w:sz w:val="24"/>
          <w:szCs w:val="24"/>
        </w:rPr>
      </w:pPr>
      <w:r w:rsidRPr="00C5703B">
        <w:rPr>
          <w:rFonts w:cstheme="minorHAnsi"/>
          <w:b/>
          <w:sz w:val="24"/>
          <w:szCs w:val="24"/>
        </w:rPr>
        <w:t xml:space="preserve">Response Prepared and Submitted By: </w:t>
      </w:r>
      <w:r w:rsidR="00985600" w:rsidRPr="00985600">
        <w:rPr>
          <w:rFonts w:cstheme="minorHAnsi"/>
          <w:bCs/>
          <w:sz w:val="24"/>
          <w:szCs w:val="24"/>
        </w:rPr>
        <w:t>James Clemente</w:t>
      </w:r>
    </w:p>
    <w:p w14:paraId="36271798" w14:textId="77777777" w:rsidR="003D6C6D" w:rsidRPr="00C5703B" w:rsidRDefault="00B37EA3" w:rsidP="00C5703B">
      <w:pPr>
        <w:spacing w:after="0" w:line="240" w:lineRule="auto"/>
        <w:rPr>
          <w:rFonts w:cstheme="minorHAnsi"/>
          <w:b/>
          <w:sz w:val="24"/>
          <w:szCs w:val="24"/>
        </w:rPr>
      </w:pPr>
      <w:r>
        <w:rPr>
          <w:rFonts w:cstheme="minorHAnsi"/>
          <w:b/>
          <w:sz w:val="24"/>
          <w:szCs w:val="24"/>
        </w:rPr>
        <w:tab/>
      </w:r>
    </w:p>
    <w:p w14:paraId="14C0E62F" w14:textId="77777777" w:rsidR="003D6C6D" w:rsidRPr="00C5703B" w:rsidRDefault="003D6C6D" w:rsidP="00C5703B">
      <w:pPr>
        <w:spacing w:after="0" w:line="240" w:lineRule="auto"/>
        <w:rPr>
          <w:rFonts w:cstheme="minorHAnsi"/>
          <w:b/>
          <w:sz w:val="24"/>
          <w:szCs w:val="24"/>
        </w:rPr>
      </w:pPr>
    </w:p>
    <w:p w14:paraId="474B42E2" w14:textId="77777777" w:rsidR="003D6C6D" w:rsidRPr="001E1A47" w:rsidRDefault="003D6C6D" w:rsidP="00C5703B">
      <w:pPr>
        <w:spacing w:after="0" w:line="240" w:lineRule="auto"/>
        <w:rPr>
          <w:rFonts w:cstheme="minorHAnsi"/>
          <w:b/>
          <w:sz w:val="24"/>
          <w:szCs w:val="24"/>
        </w:rPr>
      </w:pPr>
    </w:p>
    <w:p w14:paraId="2D51BF94" w14:textId="77777777" w:rsidR="001E1A47" w:rsidRPr="00274F25" w:rsidRDefault="001E1A47" w:rsidP="001E1A47">
      <w:pPr>
        <w:spacing w:after="0" w:line="240" w:lineRule="auto"/>
        <w:rPr>
          <w:rFonts w:cstheme="minorHAnsi"/>
          <w:b/>
          <w:sz w:val="24"/>
          <w:szCs w:val="24"/>
        </w:rPr>
      </w:pPr>
    </w:p>
    <w:sectPr w:rsidR="001E1A47" w:rsidRPr="00274F2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F4E03" w14:textId="77777777" w:rsidR="00B65C33" w:rsidRDefault="00B65C33" w:rsidP="003D6C6D">
      <w:pPr>
        <w:spacing w:after="0" w:line="240" w:lineRule="auto"/>
      </w:pPr>
      <w:r>
        <w:separator/>
      </w:r>
    </w:p>
  </w:endnote>
  <w:endnote w:type="continuationSeparator" w:id="0">
    <w:p w14:paraId="534E5519" w14:textId="77777777" w:rsidR="00B65C33" w:rsidRDefault="00B65C33" w:rsidP="003D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F7A4" w14:textId="2413323D" w:rsidR="00733090" w:rsidRDefault="00733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46CC2" w14:textId="77777777" w:rsidR="00B65C33" w:rsidRDefault="00B65C33" w:rsidP="003D6C6D">
      <w:pPr>
        <w:spacing w:after="0" w:line="240" w:lineRule="auto"/>
      </w:pPr>
      <w:r>
        <w:separator/>
      </w:r>
    </w:p>
  </w:footnote>
  <w:footnote w:type="continuationSeparator" w:id="0">
    <w:p w14:paraId="20AF125E" w14:textId="77777777" w:rsidR="00B65C33" w:rsidRDefault="00B65C33" w:rsidP="003D6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36AAE"/>
    <w:multiLevelType w:val="hybridMultilevel"/>
    <w:tmpl w:val="C27A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720E22"/>
    <w:multiLevelType w:val="hybridMultilevel"/>
    <w:tmpl w:val="DAB6FD30"/>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num w:numId="1" w16cid:durableId="317685390">
    <w:abstractNumId w:val="0"/>
  </w:num>
  <w:num w:numId="2" w16cid:durableId="1563783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1A47"/>
    <w:rsid w:val="000077FD"/>
    <w:rsid w:val="000116D8"/>
    <w:rsid w:val="0001626D"/>
    <w:rsid w:val="00052745"/>
    <w:rsid w:val="0009767B"/>
    <w:rsid w:val="000B0F2D"/>
    <w:rsid w:val="000C71FB"/>
    <w:rsid w:val="000D31B1"/>
    <w:rsid w:val="00125EAF"/>
    <w:rsid w:val="00177079"/>
    <w:rsid w:val="001E1A47"/>
    <w:rsid w:val="0022747D"/>
    <w:rsid w:val="002565EC"/>
    <w:rsid w:val="00274F25"/>
    <w:rsid w:val="002A3ED6"/>
    <w:rsid w:val="002C323A"/>
    <w:rsid w:val="002E13AA"/>
    <w:rsid w:val="0038662E"/>
    <w:rsid w:val="003A6D26"/>
    <w:rsid w:val="003B7B7C"/>
    <w:rsid w:val="003D6C6D"/>
    <w:rsid w:val="003F59E5"/>
    <w:rsid w:val="0043457F"/>
    <w:rsid w:val="00442162"/>
    <w:rsid w:val="0045097A"/>
    <w:rsid w:val="0045239E"/>
    <w:rsid w:val="00503FD9"/>
    <w:rsid w:val="005C37FB"/>
    <w:rsid w:val="00612B90"/>
    <w:rsid w:val="006C7DC3"/>
    <w:rsid w:val="006E2F6F"/>
    <w:rsid w:val="006E6BA4"/>
    <w:rsid w:val="00733090"/>
    <w:rsid w:val="007537D7"/>
    <w:rsid w:val="00784F91"/>
    <w:rsid w:val="007C2B34"/>
    <w:rsid w:val="007F1EB0"/>
    <w:rsid w:val="00804A20"/>
    <w:rsid w:val="00860309"/>
    <w:rsid w:val="008678B6"/>
    <w:rsid w:val="008B5038"/>
    <w:rsid w:val="008B5557"/>
    <w:rsid w:val="008F1103"/>
    <w:rsid w:val="009045FF"/>
    <w:rsid w:val="00985600"/>
    <w:rsid w:val="009E4DEC"/>
    <w:rsid w:val="00A0196B"/>
    <w:rsid w:val="00A0423C"/>
    <w:rsid w:val="00A22405"/>
    <w:rsid w:val="00A60024"/>
    <w:rsid w:val="00A91679"/>
    <w:rsid w:val="00B37EA3"/>
    <w:rsid w:val="00B65C33"/>
    <w:rsid w:val="00B74B70"/>
    <w:rsid w:val="00B8228C"/>
    <w:rsid w:val="00B9367E"/>
    <w:rsid w:val="00BB2F0D"/>
    <w:rsid w:val="00C00853"/>
    <w:rsid w:val="00C011BF"/>
    <w:rsid w:val="00C5703B"/>
    <w:rsid w:val="00C6312B"/>
    <w:rsid w:val="00C81634"/>
    <w:rsid w:val="00C81D3E"/>
    <w:rsid w:val="00C870CC"/>
    <w:rsid w:val="00CA5D82"/>
    <w:rsid w:val="00D01CD0"/>
    <w:rsid w:val="00D36856"/>
    <w:rsid w:val="00D71228"/>
    <w:rsid w:val="00DC7474"/>
    <w:rsid w:val="00DF0813"/>
    <w:rsid w:val="00E033FE"/>
    <w:rsid w:val="00E05171"/>
    <w:rsid w:val="00E1103C"/>
    <w:rsid w:val="00E124AA"/>
    <w:rsid w:val="00E16897"/>
    <w:rsid w:val="00E17525"/>
    <w:rsid w:val="00E74C29"/>
    <w:rsid w:val="00E77333"/>
    <w:rsid w:val="00E85FBC"/>
    <w:rsid w:val="00F13A92"/>
    <w:rsid w:val="00F432E5"/>
    <w:rsid w:val="00F45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393A"/>
  <w15:docId w15:val="{92C3AE4B-2369-457B-AB7D-AC52F2E2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D6C6D"/>
    <w:pPr>
      <w:spacing w:after="0" w:line="240" w:lineRule="auto"/>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3D6C6D"/>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3D6C6D"/>
    <w:rPr>
      <w:vertAlign w:val="superscript"/>
    </w:rPr>
  </w:style>
  <w:style w:type="paragraph" w:styleId="ListParagraph">
    <w:name w:val="List Paragraph"/>
    <w:basedOn w:val="Normal"/>
    <w:uiPriority w:val="34"/>
    <w:qFormat/>
    <w:rsid w:val="003D6C6D"/>
    <w:pPr>
      <w:ind w:left="720"/>
      <w:contextualSpacing/>
    </w:pPr>
  </w:style>
  <w:style w:type="table" w:styleId="TableGrid">
    <w:name w:val="Table Grid"/>
    <w:basedOn w:val="TableNormal"/>
    <w:uiPriority w:val="59"/>
    <w:rsid w:val="003D6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090"/>
  </w:style>
  <w:style w:type="paragraph" w:styleId="Footer">
    <w:name w:val="footer"/>
    <w:basedOn w:val="Normal"/>
    <w:link w:val="FooterChar"/>
    <w:uiPriority w:val="99"/>
    <w:unhideWhenUsed/>
    <w:rsid w:val="00733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8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5B7C5-6687-4AB4-A8E5-CE26AED0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IBERDROLA S.A.</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Iberdrola S.A.</dc:creator>
  <cp:lastModifiedBy>DANIELLE MECHLING</cp:lastModifiedBy>
  <cp:revision>4</cp:revision>
  <dcterms:created xsi:type="dcterms:W3CDTF">2023-07-17T12:50:00Z</dcterms:created>
  <dcterms:modified xsi:type="dcterms:W3CDTF">2023-07-26T01:14:00Z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624b1752-a977-4927-b9e6-e48a43684aee_Enabled">
    <vt:lpwstr>true</vt:lpwstr>
  </property>
  <property fmtid="{D5CDD505-2E9C-101B-9397-08002B2CF9AE}" pid="4" name="MSIP_Label_624b1752-a977-4927-b9e6-e48a43684aee_SetDate">
    <vt:lpwstr>2023-07-23T18:29:46Z</vt:lpwstr>
  </property>
  <property fmtid="{D5CDD505-2E9C-101B-9397-08002B2CF9AE}" pid="5" name="MSIP_Label_624b1752-a977-4927-b9e6-e48a43684aee_Method">
    <vt:lpwstr>Privileged</vt:lpwstr>
  </property>
  <property fmtid="{D5CDD505-2E9C-101B-9397-08002B2CF9AE}" pid="6" name="MSIP_Label_624b1752-a977-4927-b9e6-e48a43684aee_Name">
    <vt:lpwstr>Public</vt:lpwstr>
  </property>
  <property fmtid="{D5CDD505-2E9C-101B-9397-08002B2CF9AE}" pid="7" name="MSIP_Label_624b1752-a977-4927-b9e6-e48a43684aee_SiteId">
    <vt:lpwstr>031a09bc-a2bf-44df-888e-4e09355b7a24</vt:lpwstr>
  </property>
  <property fmtid="{D5CDD505-2E9C-101B-9397-08002B2CF9AE}" pid="8" name="MSIP_Label_624b1752-a977-4927-b9e6-e48a43684aee_ActionId">
    <vt:lpwstr>61cb31f5-2fd6-4a33-b71b-45ee693beb13</vt:lpwstr>
  </property>
  <property fmtid="{D5CDD505-2E9C-101B-9397-08002B2CF9AE}" pid="9" name="MSIP_Label_624b1752-a977-4927-b9e6-e48a43684aee_ContentBits">
    <vt:lpwstr>0</vt:lpwstr>
  </property>
</Properties>
</file>